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829D41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71731C">
        <w:rPr>
          <w:bCs/>
          <w:noProof w:val="0"/>
          <w:sz w:val="24"/>
          <w:szCs w:val="24"/>
        </w:rPr>
        <w:t>1</w:t>
      </w:r>
      <w:r w:rsidR="0036459E">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97313C">
        <w:rPr>
          <w:bCs/>
          <w:noProof w:val="0"/>
          <w:sz w:val="24"/>
          <w:szCs w:val="24"/>
        </w:rPr>
        <w:t>07362</w:t>
      </w:r>
    </w:p>
    <w:p w14:paraId="11776FA6" w14:textId="26D5272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CC08A2">
        <w:rPr>
          <w:rFonts w:eastAsia="SimSun"/>
          <w:bCs/>
          <w:sz w:val="24"/>
          <w:szCs w:val="24"/>
          <w:lang w:eastAsia="zh-CN"/>
        </w:rPr>
        <w:t>17th – 28th of</w:t>
      </w:r>
      <w:r w:rsidR="0071731C">
        <w:rPr>
          <w:rFonts w:eastAsia="SimSun"/>
          <w:bCs/>
          <w:sz w:val="24"/>
          <w:szCs w:val="24"/>
          <w:lang w:eastAsia="zh-CN"/>
        </w:rPr>
        <w:t xml:space="preserve"> 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CB55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08A2">
        <w:rPr>
          <w:rFonts w:cs="Arial"/>
          <w:b/>
          <w:bCs/>
          <w:sz w:val="24"/>
          <w:lang w:eastAsia="ja-JP"/>
        </w:rPr>
        <w:t>8.10.</w:t>
      </w:r>
      <w:r w:rsidR="006C5C68">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747F68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08A2">
        <w:rPr>
          <w:rFonts w:ascii="Arial" w:hAnsi="Arial" w:cs="Arial"/>
          <w:b/>
          <w:bCs/>
          <w:sz w:val="24"/>
        </w:rPr>
        <w:t xml:space="preserve">On </w:t>
      </w:r>
      <w:r w:rsidR="006E6EAC">
        <w:rPr>
          <w:rFonts w:ascii="Arial" w:hAnsi="Arial" w:cs="Arial"/>
          <w:b/>
          <w:bCs/>
          <w:sz w:val="24"/>
        </w:rPr>
        <w:t xml:space="preserve">Tracking Areas and </w:t>
      </w:r>
      <w:r w:rsidR="00CC08A2">
        <w:rPr>
          <w:rFonts w:ascii="Arial" w:hAnsi="Arial" w:cs="Arial"/>
          <w:b/>
          <w:bCs/>
          <w:sz w:val="24"/>
        </w:rPr>
        <w:t xml:space="preserve">IDLE mode </w:t>
      </w:r>
      <w:r w:rsidR="006E6EAC">
        <w:rPr>
          <w:rFonts w:ascii="Arial" w:hAnsi="Arial" w:cs="Arial"/>
          <w:b/>
          <w:bCs/>
          <w:sz w:val="24"/>
        </w:rPr>
        <w:t>handling for NTN</w:t>
      </w:r>
    </w:p>
    <w:p w14:paraId="1F147C23" w14:textId="204749A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1731C" w:rsidRPr="0071731C">
        <w:rPr>
          <w:rFonts w:ascii="Arial" w:hAnsi="Arial" w:cs="Arial"/>
          <w:b/>
          <w:bCs/>
          <w:sz w:val="24"/>
        </w:rPr>
        <w:t>NR_NTN_solutions</w:t>
      </w:r>
      <w:proofErr w:type="spellEnd"/>
      <w:r w:rsidR="0071731C" w:rsidRPr="0071731C">
        <w:rPr>
          <w:rFonts w:ascii="Arial" w:hAnsi="Arial" w:cs="Arial"/>
          <w:b/>
          <w:bCs/>
          <w:sz w:val="24"/>
        </w:rPr>
        <w:t xml:space="preserve">-Core </w:t>
      </w:r>
      <w:r>
        <w:rPr>
          <w:rFonts w:ascii="Arial" w:hAnsi="Arial" w:cs="Arial"/>
          <w:b/>
          <w:bCs/>
          <w:sz w:val="24"/>
        </w:rPr>
        <w:t xml:space="preserve">- Release </w:t>
      </w:r>
      <w:r w:rsidR="0071731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57598B0" w:rsidR="007F2E08" w:rsidRPr="006E13D1" w:rsidRDefault="006C5C68" w:rsidP="00FD59CF">
      <w:pPr>
        <w:jc w:val="both"/>
      </w:pPr>
      <w:r>
        <w:t xml:space="preserve">Among the objectives of the Rel-17 NTN Work Item [1] </w:t>
      </w:r>
      <w:r w:rsidR="006502E9">
        <w:t>one may find</w:t>
      </w:r>
      <w:r>
        <w:t xml:space="preserve"> IDLE/INACTIVE mode aspects identified during the study phase and captured in the TR 38.</w:t>
      </w:r>
      <w:r w:rsidR="00454FB1">
        <w:t xml:space="preserve">821 [2]. </w:t>
      </w:r>
      <w:r w:rsidR="004C1A03">
        <w:t xml:space="preserve">One of such topics to be considered and addressed via specification is related to tracking areas (TAs). Other IDLE/INACTIVE aspects concern mobility, system information and UE location information. </w:t>
      </w:r>
      <w:r w:rsidR="006502E9">
        <w:t>I</w:t>
      </w:r>
      <w:r w:rsidR="004C1A03">
        <w:t xml:space="preserve">n the subsequent sections </w:t>
      </w:r>
      <w:r w:rsidR="006502E9">
        <w:t xml:space="preserve">we </w:t>
      </w:r>
      <w:r w:rsidR="004C1A03">
        <w:t xml:space="preserve">elaborate more on those </w:t>
      </w:r>
      <w:r w:rsidR="00FC11B2">
        <w:t>identified areas.</w:t>
      </w:r>
    </w:p>
    <w:p w14:paraId="2BBFF540" w14:textId="366B3958" w:rsidR="00A209D6" w:rsidRPr="006E13D1" w:rsidRDefault="00A209D6" w:rsidP="00A209D6">
      <w:pPr>
        <w:pStyle w:val="Heading1"/>
      </w:pPr>
      <w:r w:rsidRPr="006E13D1">
        <w:t>2</w:t>
      </w:r>
      <w:r w:rsidRPr="006E13D1">
        <w:tab/>
      </w:r>
      <w:r w:rsidR="00FC11B2">
        <w:t>Tracking Areas – fixed or moving</w:t>
      </w:r>
    </w:p>
    <w:p w14:paraId="3BE2955F" w14:textId="6D4CF980" w:rsidR="00FC11B2" w:rsidRDefault="00FC11B2" w:rsidP="00A209D6">
      <w:r>
        <w:t>In [2] it was considered whether TAs shall be fixed o</w:t>
      </w:r>
      <w:r w:rsidR="00542956">
        <w:t>r</w:t>
      </w:r>
      <w:r>
        <w:t xml:space="preserve"> moving in case of NTN. Obviously</w:t>
      </w:r>
      <w:r w:rsidR="00FD59CF">
        <w:t>,</w:t>
      </w:r>
      <w:r>
        <w:t xml:space="preserve"> each of those approaches has pros and cons. </w:t>
      </w:r>
      <w:r w:rsidR="006502E9">
        <w:t>For example, m</w:t>
      </w:r>
      <w:r w:rsidR="00FD59CF">
        <w:t>oving</w:t>
      </w:r>
      <w:r w:rsidR="004922F7">
        <w:t xml:space="preserve"> TAs will be especially problematic for earth stationary</w:t>
      </w:r>
      <w:r w:rsidR="00FD59CF">
        <w:t xml:space="preserve"> </w:t>
      </w:r>
      <w:r w:rsidR="004922F7">
        <w:t>UEs, which will have to execute frequent Tracking Area Updates (TAUs)</w:t>
      </w:r>
      <w:r w:rsidR="00847201">
        <w:t>,</w:t>
      </w:r>
      <w:r w:rsidR="004922F7">
        <w:t xml:space="preserve"> despite no motion at all. </w:t>
      </w:r>
    </w:p>
    <w:p w14:paraId="23CA083B" w14:textId="56C746C3" w:rsidR="004922F7" w:rsidRPr="00542956" w:rsidRDefault="004922F7" w:rsidP="00A209D6">
      <w:pPr>
        <w:rPr>
          <w:b/>
          <w:bCs/>
          <w:lang w:val="pl-PL"/>
        </w:rPr>
      </w:pPr>
      <w:r w:rsidRPr="00542956">
        <w:rPr>
          <w:b/>
          <w:bCs/>
        </w:rPr>
        <w:t xml:space="preserve">Observation 1: </w:t>
      </w:r>
      <w:r w:rsidR="00542956" w:rsidRPr="00542956">
        <w:rPr>
          <w:b/>
          <w:bCs/>
        </w:rPr>
        <w:t xml:space="preserve">Moving TAs will require </w:t>
      </w:r>
      <w:r w:rsidR="2DC140C1" w:rsidRPr="1A31AC74">
        <w:rPr>
          <w:b/>
          <w:bCs/>
        </w:rPr>
        <w:t>mitigation of excessively</w:t>
      </w:r>
      <w:r w:rsidR="00542956" w:rsidRPr="1A31AC74">
        <w:rPr>
          <w:b/>
          <w:bCs/>
        </w:rPr>
        <w:t xml:space="preserve"> </w:t>
      </w:r>
      <w:r w:rsidR="00542956" w:rsidRPr="00542956">
        <w:rPr>
          <w:b/>
          <w:bCs/>
        </w:rPr>
        <w:t>frequent TAUs, also from stationary UEs.</w:t>
      </w:r>
    </w:p>
    <w:p w14:paraId="42773426" w14:textId="6D3F8D15" w:rsidR="00FC11B2" w:rsidRPr="003C5BA1" w:rsidRDefault="06BAADC2" w:rsidP="00A4483B">
      <w:pPr>
        <w:jc w:val="both"/>
      </w:pPr>
      <w:r>
        <w:t>Without any change, e.g. a LEO satellite</w:t>
      </w:r>
      <w:r w:rsidR="46409CCD">
        <w:t>s broadcasting different TAI</w:t>
      </w:r>
      <w:r>
        <w:t xml:space="preserve"> </w:t>
      </w:r>
      <w:r w:rsidR="7ABC5DFC">
        <w:t xml:space="preserve">and </w:t>
      </w:r>
      <w:r>
        <w:t>remain</w:t>
      </w:r>
      <w:r w:rsidR="706A6A22">
        <w:t>ing</w:t>
      </w:r>
      <w:r>
        <w:t xml:space="preserve"> visible to the UE over the horizon about 1 – 2 minutes will cut short </w:t>
      </w:r>
      <w:r w:rsidR="2B774843">
        <w:t>even the shortest possible Periodic Registration Update Timer value</w:t>
      </w:r>
      <w:r w:rsidR="00FF505C">
        <w:t>,</w:t>
      </w:r>
      <w:r w:rsidR="2B774843">
        <w:t xml:space="preserve"> which is 6 minutes, causing unacceptable signalling load. </w:t>
      </w:r>
      <w:r>
        <w:t>Some methods to overcome th</w:t>
      </w:r>
      <w:r w:rsidR="2D24B7AD">
        <w:t>is problem have already been identified</w:t>
      </w:r>
      <w:r w:rsidR="39A64BAA">
        <w:t>.</w:t>
      </w:r>
      <w:r w:rsidR="00542956">
        <w:t xml:space="preserve"> </w:t>
      </w:r>
      <w:r w:rsidR="797998F3">
        <w:t xml:space="preserve">Satellite </w:t>
      </w:r>
      <w:proofErr w:type="spellStart"/>
      <w:r w:rsidR="797998F3">
        <w:t>gNB</w:t>
      </w:r>
      <w:proofErr w:type="spellEnd"/>
      <w:r w:rsidR="797998F3">
        <w:t xml:space="preserve"> may update/switch the Tracking Area Code (TAC) it broadcasts each time the satellite moves in or out a TA area in order to project</w:t>
      </w:r>
      <w:r w:rsidR="00542956">
        <w:t xml:space="preserve"> TAs </w:t>
      </w:r>
      <w:r w:rsidR="02039C83">
        <w:t>that are</w:t>
      </w:r>
      <w:r w:rsidR="00542956">
        <w:t xml:space="preserve"> fixed on the ground</w:t>
      </w:r>
      <w:r w:rsidR="006502E9">
        <w:t xml:space="preserve"> (please note such was the recommended conclusion in the SI)</w:t>
      </w:r>
      <w:r w:rsidR="00542956">
        <w:t>.</w:t>
      </w:r>
      <w:r w:rsidR="00A4483B">
        <w:t xml:space="preserve"> </w:t>
      </w:r>
      <w:r w:rsidR="00EB77AE">
        <w:t xml:space="preserve">In [2] there were two different ways presented how to mitigate this switching burden: either to use a hard switch (each </w:t>
      </w:r>
      <w:r w:rsidR="00AE7EB2">
        <w:t>cell</w:t>
      </w:r>
      <w:r w:rsidR="00EB77AE">
        <w:t xml:space="preserve"> broadcasts just a single TAC in time) or soft switch (</w:t>
      </w:r>
      <w:r w:rsidR="00AE7EB2">
        <w:t>each cell</w:t>
      </w:r>
      <w:r w:rsidR="00EB77AE">
        <w:t xml:space="preserve"> can broadcast more than</w:t>
      </w:r>
      <w:r w:rsidR="003C5BA1">
        <w:t xml:space="preserve"> one TAC</w:t>
      </w:r>
      <w:r w:rsidR="006502E9">
        <w:t>, each presumably covering adjacent areas</w:t>
      </w:r>
      <w:r w:rsidR="003C5BA1">
        <w:t xml:space="preserve">). The former may lead to </w:t>
      </w:r>
      <w:r w:rsidR="00AE7EB2">
        <w:t>an increased number of updates</w:t>
      </w:r>
      <w:r w:rsidR="003C5BA1">
        <w:t xml:space="preserve"> at the </w:t>
      </w:r>
      <w:r w:rsidR="003C5BA1" w:rsidRPr="003C5BA1">
        <w:t xml:space="preserve">border when the </w:t>
      </w:r>
      <w:r w:rsidR="00AE7EB2">
        <w:t>cell</w:t>
      </w:r>
      <w:r w:rsidR="00AE7EB2" w:rsidRPr="003C5BA1">
        <w:t xml:space="preserve"> </w:t>
      </w:r>
      <w:r w:rsidR="003C5BA1" w:rsidRPr="003C5BA1">
        <w:t>switches the broadcasted TACs</w:t>
      </w:r>
      <w:r w:rsidR="00AE7EB2">
        <w:t xml:space="preserve"> while not both TACs are</w:t>
      </w:r>
      <w:r w:rsidR="0042377A">
        <w:t xml:space="preserve"> </w:t>
      </w:r>
      <w:r w:rsidR="00AE7EB2">
        <w:t>included in the RA of the UE</w:t>
      </w:r>
      <w:r w:rsidR="003C5BA1" w:rsidRPr="003C5BA1">
        <w:t xml:space="preserve">. </w:t>
      </w:r>
      <w:r w:rsidR="00AE7EB2">
        <w:t xml:space="preserve">This can however easily be mitigated by including the relevant TACs in the UEs RA. </w:t>
      </w:r>
      <w:r w:rsidR="003C5BA1" w:rsidRPr="003C5BA1">
        <w:t xml:space="preserve">The latter is not </w:t>
      </w:r>
      <w:r w:rsidR="00AE7EB2">
        <w:t xml:space="preserve">needed as including the different TACs in the RA of the UE avoids frequent updates and is already </w:t>
      </w:r>
      <w:r w:rsidR="0042377A">
        <w:t>supported</w:t>
      </w:r>
      <w:r w:rsidR="00AE7EB2">
        <w:t xml:space="preserve"> in the specifications</w:t>
      </w:r>
      <w:r w:rsidR="002D604D">
        <w:t xml:space="preserve"> </w:t>
      </w:r>
      <w:r w:rsidR="003C5BA1" w:rsidRPr="003C5BA1" w:rsidDel="00AE7EB2">
        <w:t>as broadcasting multiple TACs will lead to increasing the paging load</w:t>
      </w:r>
      <w:r w:rsidR="003C5BA1" w:rsidRPr="003C5BA1">
        <w:t xml:space="preserve">. </w:t>
      </w:r>
      <w:r w:rsidR="2CC5B543">
        <w:t>Another method by which the UE is issued a predicted list of TAs that follow the expected sequence of the satellites passing above the UE location has also been documented in TR 38.8</w:t>
      </w:r>
      <w:r w:rsidR="5EC4628B">
        <w:t>21 and TR 23.737 (Solution #7). The former adds comple</w:t>
      </w:r>
      <w:r w:rsidR="003F4319">
        <w:t>x</w:t>
      </w:r>
      <w:r w:rsidR="5EC4628B">
        <w:t xml:space="preserve">ity in the RAN, the latter puts new requirements on the CN and the UE. </w:t>
      </w:r>
      <w:r w:rsidR="003C5BA1">
        <w:t>Thus, the following is proposed:</w:t>
      </w:r>
    </w:p>
    <w:p w14:paraId="2E12A387" w14:textId="1B8D5FBC" w:rsidR="00FC11B2" w:rsidRPr="00A41F15" w:rsidRDefault="003C5BA1" w:rsidP="00A209D6">
      <w:pPr>
        <w:rPr>
          <w:b/>
          <w:bCs/>
        </w:rPr>
      </w:pPr>
      <w:bookmarkStart w:id="0" w:name="_Hlk47091265"/>
      <w:r w:rsidRPr="00A41F15">
        <w:rPr>
          <w:b/>
          <w:bCs/>
        </w:rPr>
        <w:t xml:space="preserve">Proposal 1: </w:t>
      </w:r>
      <w:r w:rsidR="00A41F15" w:rsidRPr="00A41F15">
        <w:rPr>
          <w:b/>
          <w:bCs/>
        </w:rPr>
        <w:t xml:space="preserve">In case of fixed TAs, </w:t>
      </w:r>
      <w:proofErr w:type="spellStart"/>
      <w:r w:rsidR="00A41F15" w:rsidRPr="00A41F15">
        <w:rPr>
          <w:b/>
          <w:bCs/>
        </w:rPr>
        <w:t>gNB</w:t>
      </w:r>
      <w:proofErr w:type="spellEnd"/>
      <w:r w:rsidR="00A41F15" w:rsidRPr="00A41F15">
        <w:rPr>
          <w:b/>
          <w:bCs/>
        </w:rPr>
        <w:t xml:space="preserve"> broadcast</w:t>
      </w:r>
      <w:r w:rsidR="004D6AEE">
        <w:rPr>
          <w:b/>
          <w:bCs/>
        </w:rPr>
        <w:t>s</w:t>
      </w:r>
      <w:r w:rsidR="00A41F15" w:rsidRPr="00A41F15">
        <w:rPr>
          <w:b/>
          <w:bCs/>
        </w:rPr>
        <w:t xml:space="preserve"> </w:t>
      </w:r>
      <w:proofErr w:type="gramStart"/>
      <w:r w:rsidR="00A41F15" w:rsidRPr="00A41F15" w:rsidDel="0042377A">
        <w:rPr>
          <w:b/>
          <w:bCs/>
        </w:rPr>
        <w:t xml:space="preserve">just </w:t>
      </w:r>
      <w:r w:rsidR="0042377A" w:rsidRPr="00A41F15">
        <w:rPr>
          <w:b/>
          <w:bCs/>
        </w:rPr>
        <w:t xml:space="preserve"> </w:t>
      </w:r>
      <w:r w:rsidR="00A41F15" w:rsidRPr="00A41F15">
        <w:rPr>
          <w:b/>
          <w:bCs/>
        </w:rPr>
        <w:t>a</w:t>
      </w:r>
      <w:proofErr w:type="gramEnd"/>
      <w:r w:rsidR="00A41F15" w:rsidRPr="00A41F15">
        <w:rPr>
          <w:b/>
          <w:bCs/>
        </w:rPr>
        <w:t xml:space="preserve"> single TAC.</w:t>
      </w:r>
    </w:p>
    <w:bookmarkEnd w:id="0"/>
    <w:p w14:paraId="38511E81" w14:textId="4D911C04" w:rsidR="00A41F15" w:rsidRDefault="00913E5A" w:rsidP="00233038">
      <w:pPr>
        <w:jc w:val="both"/>
      </w:pPr>
      <w:r>
        <w:t>The aforementioned solutions are assuming the UE has no location information capability. However, if that is not the case, then another approach, also described in [2]</w:t>
      </w:r>
      <w:r w:rsidR="006E3AAE">
        <w:t>,</w:t>
      </w:r>
      <w:r>
        <w:t xml:space="preserve"> is to statically divide the earth into different tracking areas, each with its unique TAC. The mapping between geographical regions and TACs would have to be predefined and stored in the UE and the NW. Each time the UE enters a new area, it needs to report it to the NW, to perform the mobility registration</w:t>
      </w:r>
      <w:r w:rsidR="00A80874">
        <w:t xml:space="preserve"> update. This procedure has certain drawbacks and inflexibility of statically dividing the earth area and requir</w:t>
      </w:r>
      <w:r w:rsidR="0042377A">
        <w:t>es</w:t>
      </w:r>
      <w:r w:rsidR="00A80874">
        <w:t xml:space="preserve"> the UE to always have the location capability. </w:t>
      </w:r>
    </w:p>
    <w:p w14:paraId="24801638" w14:textId="660BEFFE" w:rsidR="00913E5A" w:rsidRPr="00130205" w:rsidRDefault="00A80874" w:rsidP="00A209D6">
      <w:pPr>
        <w:rPr>
          <w:b/>
          <w:bCs/>
        </w:rPr>
      </w:pPr>
      <w:r w:rsidRPr="00130205">
        <w:rPr>
          <w:b/>
          <w:bCs/>
        </w:rPr>
        <w:t xml:space="preserve">Proposal 2: Static </w:t>
      </w:r>
      <w:r w:rsidR="00130205" w:rsidRPr="00130205">
        <w:rPr>
          <w:b/>
          <w:bCs/>
        </w:rPr>
        <w:t>TAC distribution globally, assuming UE’s location capability, is not considered in Rel-17 NTN.</w:t>
      </w:r>
    </w:p>
    <w:p w14:paraId="6E92F851" w14:textId="52EC9E8B" w:rsidR="003C1494" w:rsidRDefault="007E0CF7" w:rsidP="0039056D">
      <w:pPr>
        <w:jc w:val="both"/>
      </w:pPr>
      <w:r>
        <w:t>In [4] SA WG2 has asked RAN WG2 to study several solutions for addressing possible</w:t>
      </w:r>
      <w:r w:rsidR="003C1494">
        <w:t xml:space="preserve"> </w:t>
      </w:r>
      <w:r>
        <w:t xml:space="preserve">extra-territoriality </w:t>
      </w:r>
      <w:r w:rsidR="003C1494">
        <w:t>issues (i.e. over the border with multiple countries). If the UE is equipped with the positioning capability and the TAs are fixed on earth, then there seems to be no major issue</w:t>
      </w:r>
      <w:r w:rsidR="00B04CB0">
        <w:t>, assuming the UE does not intentionally falsify its location</w:t>
      </w:r>
      <w:r w:rsidR="003C1494">
        <w:t xml:space="preserve">. However, [4] also </w:t>
      </w:r>
      <w:r w:rsidR="003C1494">
        <w:lastRenderedPageBreak/>
        <w:t>pointed out few other approaches</w:t>
      </w:r>
      <w:r w:rsidR="00170849">
        <w:t>, specifically to tackle extra-territoriality</w:t>
      </w:r>
      <w:r w:rsidR="003C1494">
        <w:t xml:space="preserve"> problem. </w:t>
      </w:r>
      <w:r w:rsidR="008968DF">
        <w:t xml:space="preserve">Solution 12 </w:t>
      </w:r>
      <w:r w:rsidR="00E001E3">
        <w:t>described</w:t>
      </w:r>
      <w:r w:rsidR="008968DF">
        <w:t xml:space="preserve"> in [4]</w:t>
      </w:r>
      <w:r w:rsidR="00170849">
        <w:t>,</w:t>
      </w:r>
      <w:r w:rsidR="008968DF">
        <w:t xml:space="preserve"> assumes the UE follows virtual cells, which are associated to the geographical location and not related to RF signal and its quality. This would change the mobility paradigm, followed so far in the 3GPP </w:t>
      </w:r>
      <w:r w:rsidR="006E3AAE">
        <w:t>for all RATs</w:t>
      </w:r>
      <w:r w:rsidR="008968DF">
        <w:t>.</w:t>
      </w:r>
      <w:r w:rsidR="00170849">
        <w:t xml:space="preserve"> On the other hand, Solution 13 </w:t>
      </w:r>
      <w:r w:rsidR="00E001E3">
        <w:t xml:space="preserve">(details in </w:t>
      </w:r>
      <w:r w:rsidR="00170849">
        <w:t>[4]</w:t>
      </w:r>
      <w:r w:rsidR="00E001E3">
        <w:t>)</w:t>
      </w:r>
      <w:r w:rsidR="00170849">
        <w:t xml:space="preserve"> presented a much simpler approach, where the UE stores a list of PLMNs and knows its home PLMN as well as </w:t>
      </w:r>
      <w:r w:rsidR="006502E9">
        <w:t xml:space="preserve">its </w:t>
      </w:r>
      <w:r w:rsidR="00170849">
        <w:t xml:space="preserve">current location. The UE uses that knowledge in PLMN selection process. </w:t>
      </w:r>
      <w:r w:rsidR="008A6CB0">
        <w:t xml:space="preserve">This is done with the assumption </w:t>
      </w:r>
      <w:r w:rsidR="006502E9">
        <w:t>UE is capable of accurately assessing current whereabouts, at least precisely enough to be able to determine the country of location. Otherwise, the NW will have to enforce the UE registration to PLMN of the country of UE’s location</w:t>
      </w:r>
      <w:r w:rsidR="00BA50AB">
        <w:t xml:space="preserve"> (e.g. by receiving some location-related information from the UE when it is establishing the RRC Connection)</w:t>
      </w:r>
      <w:r w:rsidR="006502E9">
        <w:t xml:space="preserve">. </w:t>
      </w:r>
      <w:r w:rsidR="00E001E3">
        <w:t xml:space="preserve">It </w:t>
      </w:r>
      <w:r w:rsidR="00BA50AB">
        <w:t xml:space="preserve">also </w:t>
      </w:r>
      <w:r w:rsidR="00E001E3">
        <w:t xml:space="preserve">remains to be addressed whether the satellite provides a single PLMN only or whether there can be multiple PLMNs provided </w:t>
      </w:r>
      <w:r w:rsidR="00BA50AB">
        <w:t xml:space="preserve">to cater </w:t>
      </w:r>
      <w:r w:rsidR="00E001E3">
        <w:t xml:space="preserve">for the extra-territoriality </w:t>
      </w:r>
      <w:r w:rsidR="00BA50AB">
        <w:t>issues</w:t>
      </w:r>
      <w:r w:rsidR="00E001E3">
        <w:t>.</w:t>
      </w:r>
      <w:r w:rsidR="006502E9">
        <w:t xml:space="preserve"> </w:t>
      </w:r>
    </w:p>
    <w:p w14:paraId="22D2E65F" w14:textId="5371CAFE" w:rsidR="00AF7BD3" w:rsidRPr="00FD5167" w:rsidRDefault="008A6CB0" w:rsidP="00AF7BD3">
      <w:pPr>
        <w:rPr>
          <w:b/>
          <w:bCs/>
        </w:rPr>
      </w:pPr>
      <w:r w:rsidRPr="00FD5167">
        <w:rPr>
          <w:b/>
          <w:bCs/>
        </w:rPr>
        <w:t>Proposal 3:</w:t>
      </w:r>
      <w:r w:rsidR="00FD5167" w:rsidRPr="00FD5167">
        <w:rPr>
          <w:b/>
          <w:bCs/>
        </w:rPr>
        <w:t xml:space="preserve"> From RAN2 point of view, extra-territoriality issue can be addressed via solution 13 [4] in the simplest manner. A follow-up LS to SA2 can be considered.</w:t>
      </w:r>
    </w:p>
    <w:p w14:paraId="2EF3CDCE" w14:textId="4148E995" w:rsidR="00AF7BD3" w:rsidRDefault="00AF7BD3">
      <w:pPr>
        <w:pStyle w:val="Heading1"/>
      </w:pPr>
      <w:r>
        <w:t>3</w:t>
      </w:r>
      <w:r>
        <w:tab/>
        <w:t>Other IDLE mode aspects</w:t>
      </w:r>
    </w:p>
    <w:p w14:paraId="2535D3B8" w14:textId="7F14CE09" w:rsidR="00AF7BD3" w:rsidRDefault="00926C66" w:rsidP="008905C7">
      <w:pPr>
        <w:jc w:val="both"/>
      </w:pPr>
      <w:bookmarkStart w:id="1" w:name="_Hlk47546842"/>
      <w:r>
        <w:t xml:space="preserve">Ephemeris information shall be used by the UE to optimize its measurements for cell reselection, as has been identified in the SI phase and captured in [2]. The </w:t>
      </w:r>
      <w:r w:rsidR="00D42FEA">
        <w:t xml:space="preserve">obvious choice is to insert appropriate ephemeris components </w:t>
      </w:r>
      <w:r w:rsidR="0007140C">
        <w:t>(</w:t>
      </w:r>
      <w:r w:rsidR="00933688">
        <w:t>listed</w:t>
      </w:r>
      <w:r w:rsidR="0007140C">
        <w:t xml:space="preserve"> in 7.3.6 of [2])</w:t>
      </w:r>
      <w:r w:rsidR="00D42FEA">
        <w:t xml:space="preserve"> into the one of broadcasted system information blocks. </w:t>
      </w:r>
      <w:r w:rsidR="00933688">
        <w:t>However, i</w:t>
      </w:r>
      <w:r w:rsidR="00D42FEA">
        <w:t xml:space="preserve">t needs to be decided what </w:t>
      </w:r>
      <w:r w:rsidR="003220E6">
        <w:t>information and what accuracy</w:t>
      </w:r>
      <w:r w:rsidR="00D42FEA">
        <w:t xml:space="preserve"> should be provided</w:t>
      </w:r>
      <w:r w:rsidR="003220E6">
        <w:t>/ensured</w:t>
      </w:r>
      <w:r w:rsidR="00D42FEA">
        <w:t xml:space="preserve"> directly via SIBs and how the UE </w:t>
      </w:r>
      <w:r w:rsidR="003220E6">
        <w:t>applies</w:t>
      </w:r>
      <w:r w:rsidR="00D42FEA">
        <w:t xml:space="preserve"> that.</w:t>
      </w:r>
    </w:p>
    <w:p w14:paraId="40E216DF" w14:textId="090AEC81" w:rsidR="00D42FEA" w:rsidRPr="00F1066E" w:rsidRDefault="00D42FEA" w:rsidP="006E6EAC">
      <w:pPr>
        <w:jc w:val="both"/>
        <w:rPr>
          <w:b/>
          <w:bCs/>
        </w:rPr>
      </w:pPr>
      <w:bookmarkStart w:id="2" w:name="_Hlk47607899"/>
      <w:r w:rsidRPr="00F1066E">
        <w:rPr>
          <w:b/>
          <w:bCs/>
        </w:rPr>
        <w:t xml:space="preserve">Proposal </w:t>
      </w:r>
      <w:r w:rsidR="008A6CB0">
        <w:rPr>
          <w:b/>
          <w:bCs/>
        </w:rPr>
        <w:t>4</w:t>
      </w:r>
      <w:r w:rsidRPr="00F1066E">
        <w:rPr>
          <w:b/>
          <w:bCs/>
        </w:rPr>
        <w:t>: Discuss and decide what ephemeris related information is included in SIBs and how the UE makes use of it.</w:t>
      </w:r>
    </w:p>
    <w:bookmarkEnd w:id="2"/>
    <w:p w14:paraId="1467F140" w14:textId="0607A139" w:rsidR="00933688" w:rsidRDefault="00933688" w:rsidP="006E6EAC">
      <w:pPr>
        <w:jc w:val="both"/>
      </w:pPr>
      <w:r>
        <w:t>It shall be considered whether there is any ephemeris related information that could be known to the UE before it even starts decoding the system information</w:t>
      </w:r>
      <w:r w:rsidR="007A0228">
        <w:t>. N</w:t>
      </w:r>
      <w:r>
        <w:t xml:space="preserve">amely </w:t>
      </w:r>
      <w:r w:rsidR="007A0228">
        <w:t xml:space="preserve">- </w:t>
      </w:r>
      <w:r>
        <w:t>what can be preloaded to the UE.</w:t>
      </w:r>
      <w:r w:rsidR="007A0228">
        <w:t xml:space="preserve"> There are certain static components in the ephemeris, e.g. predetermined orbits where the satellites are moving, which can be known in advance and do not have to be broadcasted/provided from scratch by the NW. What the NW may do is to </w:t>
      </w:r>
      <w:r w:rsidR="006E6EAC">
        <w:t xml:space="preserve">periodically </w:t>
      </w:r>
      <w:r w:rsidR="007A0228">
        <w:t>equip the UE with necessary p</w:t>
      </w:r>
      <w:r w:rsidR="006E6EAC">
        <w:t>recision (in terms of timing, angle, distance, etc.)</w:t>
      </w:r>
      <w:r w:rsidR="008F5576">
        <w:t xml:space="preserve"> by updating the ephemeris. </w:t>
      </w:r>
    </w:p>
    <w:p w14:paraId="69D2A1AC" w14:textId="0E5FC442" w:rsidR="006E6EAC" w:rsidRPr="006E6EAC" w:rsidRDefault="006E6EAC" w:rsidP="006E6EAC">
      <w:pPr>
        <w:jc w:val="both"/>
        <w:rPr>
          <w:b/>
          <w:bCs/>
        </w:rPr>
      </w:pPr>
      <w:r w:rsidRPr="006E6EAC">
        <w:rPr>
          <w:b/>
          <w:bCs/>
        </w:rPr>
        <w:t xml:space="preserve">Proposal 5: Some static components of ephemeris are preloaded to the UE. NW provides the necessary refinements to increase the </w:t>
      </w:r>
      <w:r w:rsidR="008F5576">
        <w:rPr>
          <w:b/>
          <w:bCs/>
        </w:rPr>
        <w:t xml:space="preserve">location </w:t>
      </w:r>
      <w:r w:rsidRPr="006E6EAC">
        <w:rPr>
          <w:b/>
          <w:bCs/>
        </w:rPr>
        <w:t xml:space="preserve">precision. </w:t>
      </w:r>
    </w:p>
    <w:bookmarkEnd w:id="1"/>
    <w:p w14:paraId="5EF9F080" w14:textId="41271BF2" w:rsidR="00F1066E" w:rsidRDefault="00543B3B">
      <w:pPr>
        <w:jc w:val="both"/>
      </w:pPr>
      <w:r>
        <w:t xml:space="preserve">Mobility state information (MSE) which is a relevant mechanism for IDLE UEs, may be of lower importance in case of NTN, because the UE’s velocity is actually relatively small, compared to the speed of satellites. </w:t>
      </w:r>
      <w:r w:rsidR="00F1066E">
        <w:t>Thus, reselections occurring for NTN LEO will be predominantly thanks to the satellite’s movement, no the UE’s motion.</w:t>
      </w:r>
    </w:p>
    <w:p w14:paraId="12BA6F3F" w14:textId="54AB0C38" w:rsidR="00F1066E" w:rsidRPr="00F1066E" w:rsidRDefault="00F1066E">
      <w:pPr>
        <w:jc w:val="both"/>
        <w:rPr>
          <w:b/>
          <w:bCs/>
        </w:rPr>
      </w:pPr>
      <w:r w:rsidRPr="00F1066E">
        <w:rPr>
          <w:b/>
          <w:bCs/>
        </w:rPr>
        <w:t xml:space="preserve">Proposal </w:t>
      </w:r>
      <w:r w:rsidR="009E11DF">
        <w:rPr>
          <w:b/>
          <w:bCs/>
        </w:rPr>
        <w:t>6</w:t>
      </w:r>
      <w:r w:rsidRPr="00F1066E">
        <w:rPr>
          <w:b/>
          <w:bCs/>
        </w:rPr>
        <w:t>: Do not consider MSE for NTN Rel-17.</w:t>
      </w:r>
    </w:p>
    <w:p w14:paraId="5FF2457F" w14:textId="11A84A2C" w:rsidR="00A209D6" w:rsidRPr="006E13D1" w:rsidRDefault="00A209D6" w:rsidP="00A209D6">
      <w:pPr>
        <w:pStyle w:val="Heading1"/>
      </w:pPr>
      <w:r w:rsidRPr="006E13D1">
        <w:t>4</w:t>
      </w:r>
      <w:r w:rsidRPr="006E13D1">
        <w:tab/>
      </w:r>
      <w:r w:rsidR="008C3057">
        <w:t>Conclusion</w:t>
      </w:r>
    </w:p>
    <w:p w14:paraId="653EED19" w14:textId="5816863F" w:rsidR="00A209D6" w:rsidRPr="00CD4C7B" w:rsidRDefault="00543B3B" w:rsidP="00A209D6">
      <w:r>
        <w:t xml:space="preserve">In this paper we have discussed the IDLE mode aspects for Rel-17 NTN. The following observations and proposals have been made: </w:t>
      </w:r>
    </w:p>
    <w:p w14:paraId="20CC5018" w14:textId="7D832932" w:rsidR="00452D3F" w:rsidRPr="00C81B08" w:rsidRDefault="00452D3F" w:rsidP="00452D3F">
      <w:pPr>
        <w:rPr>
          <w:b/>
          <w:bCs/>
          <w:lang w:val="pl-PL"/>
        </w:rPr>
      </w:pPr>
      <w:r w:rsidRPr="00452D3F">
        <w:rPr>
          <w:b/>
          <w:bCs/>
        </w:rPr>
        <w:t>Observation 1: Moving TAs will require mitigation of excessively frequent TAUs, also from stationary UEs.</w:t>
      </w:r>
    </w:p>
    <w:p w14:paraId="1DA958B2" w14:textId="4791007B" w:rsidR="00452D3F" w:rsidRPr="00452D3F" w:rsidRDefault="00452D3F" w:rsidP="00452D3F">
      <w:pPr>
        <w:rPr>
          <w:b/>
          <w:bCs/>
        </w:rPr>
      </w:pPr>
      <w:r w:rsidRPr="00452D3F">
        <w:rPr>
          <w:b/>
          <w:bCs/>
        </w:rPr>
        <w:t xml:space="preserve">Proposal 1: In case of fixed TAs, </w:t>
      </w:r>
      <w:proofErr w:type="spellStart"/>
      <w:r w:rsidRPr="00452D3F">
        <w:rPr>
          <w:b/>
          <w:bCs/>
        </w:rPr>
        <w:t>gNB</w:t>
      </w:r>
      <w:proofErr w:type="spellEnd"/>
      <w:r w:rsidRPr="00452D3F">
        <w:rPr>
          <w:b/>
          <w:bCs/>
        </w:rPr>
        <w:t xml:space="preserve"> broadcasts </w:t>
      </w:r>
      <w:r w:rsidRPr="00452D3F" w:rsidDel="0042377A">
        <w:rPr>
          <w:b/>
          <w:bCs/>
        </w:rPr>
        <w:t xml:space="preserve">just </w:t>
      </w:r>
      <w:r w:rsidRPr="00452D3F">
        <w:rPr>
          <w:b/>
          <w:bCs/>
        </w:rPr>
        <w:t>a single TAC.</w:t>
      </w:r>
    </w:p>
    <w:p w14:paraId="1AF0FE80" w14:textId="77777777" w:rsidR="00452D3F" w:rsidRPr="00452D3F" w:rsidRDefault="00452D3F" w:rsidP="00452D3F">
      <w:pPr>
        <w:rPr>
          <w:b/>
          <w:bCs/>
        </w:rPr>
      </w:pPr>
      <w:r w:rsidRPr="00452D3F">
        <w:rPr>
          <w:b/>
          <w:bCs/>
        </w:rPr>
        <w:t>Proposal 2: Static TAC distribution globally, assuming UE’s location capability, is not considered in Rel-17 NTN.</w:t>
      </w:r>
    </w:p>
    <w:p w14:paraId="7541764D" w14:textId="77777777" w:rsidR="00452D3F" w:rsidRPr="00452D3F" w:rsidRDefault="00452D3F" w:rsidP="00452D3F">
      <w:pPr>
        <w:rPr>
          <w:b/>
          <w:bCs/>
        </w:rPr>
      </w:pPr>
      <w:r w:rsidRPr="00452D3F">
        <w:rPr>
          <w:b/>
          <w:bCs/>
        </w:rPr>
        <w:t>Proposal 3: From RAN2 point of view, extra-territoriality issue can be addressed via solution 13 [4] in the simplest manner. A follow-up LS to SA2 can be considered.</w:t>
      </w:r>
    </w:p>
    <w:p w14:paraId="35F222F4" w14:textId="1B23E19C" w:rsidR="00080512" w:rsidRPr="00C81B08" w:rsidRDefault="00452D3F" w:rsidP="00A209D6">
      <w:pPr>
        <w:rPr>
          <w:b/>
          <w:bCs/>
        </w:rPr>
      </w:pPr>
      <w:r w:rsidRPr="00C81B08">
        <w:rPr>
          <w:b/>
          <w:bCs/>
        </w:rPr>
        <w:t>Proposal 4: Discuss and decide what ephemeris related information is included in SIBs and how the UE makes use of it.</w:t>
      </w:r>
    </w:p>
    <w:p w14:paraId="33308CAB" w14:textId="69851036" w:rsidR="00452D3F" w:rsidRPr="00C81B08" w:rsidRDefault="00452D3F" w:rsidP="00A209D6">
      <w:pPr>
        <w:rPr>
          <w:b/>
          <w:bCs/>
        </w:rPr>
      </w:pPr>
      <w:r w:rsidRPr="00C81B08">
        <w:rPr>
          <w:b/>
          <w:bCs/>
        </w:rPr>
        <w:t xml:space="preserve">Proposal 5: Some static components of ephemeris are preloaded to the UE. NW provides the necessary refinements to increase the location precision.   </w:t>
      </w:r>
    </w:p>
    <w:p w14:paraId="2138066E" w14:textId="77777777" w:rsidR="00452D3F" w:rsidRPr="00452D3F" w:rsidRDefault="00452D3F" w:rsidP="00452D3F">
      <w:pPr>
        <w:jc w:val="both"/>
        <w:rPr>
          <w:b/>
          <w:bCs/>
        </w:rPr>
      </w:pPr>
      <w:r w:rsidRPr="00452D3F">
        <w:rPr>
          <w:b/>
          <w:bCs/>
        </w:rPr>
        <w:t>Proposal 6: Do not consider MSE for NTN Rel-17.</w:t>
      </w:r>
    </w:p>
    <w:p w14:paraId="30CBD5D7" w14:textId="77777777" w:rsidR="00452D3F" w:rsidRPr="00A209D6" w:rsidRDefault="00452D3F" w:rsidP="00A209D6"/>
    <w:p w14:paraId="4E1629E3" w14:textId="42500140" w:rsidR="00391C50" w:rsidRPr="00C81B08" w:rsidRDefault="00391C50">
      <w:pPr>
        <w:pStyle w:val="Heading1"/>
      </w:pPr>
      <w:r w:rsidRPr="00C81B08">
        <w:lastRenderedPageBreak/>
        <w:t>References</w:t>
      </w:r>
    </w:p>
    <w:p w14:paraId="71DCE3D2" w14:textId="632C8AE9" w:rsidR="00E61263" w:rsidRPr="00C81B08" w:rsidRDefault="00F76823" w:rsidP="00CC08A2">
      <w:pPr>
        <w:pStyle w:val="ListParagraph"/>
        <w:numPr>
          <w:ilvl w:val="0"/>
          <w:numId w:val="8"/>
        </w:numPr>
      </w:pPr>
      <w:r w:rsidRPr="00C81B08">
        <w:t>RP-20</w:t>
      </w:r>
      <w:r w:rsidR="006E3AAE" w:rsidRPr="00C81B08">
        <w:t xml:space="preserve">1256 </w:t>
      </w:r>
      <w:r w:rsidR="00E61263" w:rsidRPr="00C81B08">
        <w:t>W</w:t>
      </w:r>
      <w:r w:rsidR="006E3AAE" w:rsidRPr="00C81B08">
        <w:t>ork Item Description:</w:t>
      </w:r>
      <w:r w:rsidR="00E61263" w:rsidRPr="00C81B08">
        <w:t xml:space="preserve"> </w:t>
      </w:r>
      <w:r w:rsidR="006E3AAE" w:rsidRPr="00C81B08">
        <w:t xml:space="preserve">Rel-17 </w:t>
      </w:r>
      <w:r w:rsidR="00E61263" w:rsidRPr="00C81B08">
        <w:t>NTN</w:t>
      </w:r>
    </w:p>
    <w:p w14:paraId="588D52A0" w14:textId="27D73B1A" w:rsidR="00454FB1" w:rsidRPr="00C81B08" w:rsidRDefault="00454FB1" w:rsidP="006C2409">
      <w:pPr>
        <w:pStyle w:val="ListParagraph"/>
        <w:numPr>
          <w:ilvl w:val="0"/>
          <w:numId w:val="8"/>
        </w:numPr>
      </w:pPr>
      <w:r w:rsidRPr="00C81B08">
        <w:t>3GPP TR 38.821 Solutions for N</w:t>
      </w:r>
      <w:bookmarkStart w:id="3" w:name="_GoBack"/>
      <w:bookmarkEnd w:id="3"/>
      <w:r w:rsidRPr="00C81B08">
        <w:t>R to support non-terrestrial networks (NTN), version 16.0.0</w:t>
      </w:r>
    </w:p>
    <w:p w14:paraId="124CC1BB" w14:textId="0A4AD22B" w:rsidR="00CC08A2" w:rsidRDefault="00CC08A2" w:rsidP="00CC08A2">
      <w:pPr>
        <w:pStyle w:val="ListParagraph"/>
        <w:numPr>
          <w:ilvl w:val="0"/>
          <w:numId w:val="8"/>
        </w:numPr>
      </w:pPr>
      <w:r w:rsidRPr="00C81B08">
        <w:t>R2-2004266</w:t>
      </w:r>
      <w:r>
        <w:t xml:space="preserve"> </w:t>
      </w:r>
      <w:r w:rsidRPr="00CC08A2">
        <w:rPr>
          <w:i/>
          <w:iCs/>
        </w:rPr>
        <w:t>Response LS on the LS OUT on Location of UEs and associated key issues</w:t>
      </w:r>
      <w:r>
        <w:t>, 3GPP TSG-RAN WG2 Meeting #109-e-bis, 20 - 30 April 2020, Online</w:t>
      </w:r>
    </w:p>
    <w:p w14:paraId="736D82BA" w14:textId="401ECD2C" w:rsidR="00C81D74" w:rsidRDefault="00C81D74" w:rsidP="00A12939">
      <w:pPr>
        <w:pStyle w:val="ListParagraph"/>
        <w:numPr>
          <w:ilvl w:val="0"/>
          <w:numId w:val="8"/>
        </w:numPr>
      </w:pPr>
      <w:r w:rsidRPr="00C81D74">
        <w:t>S2-1912560</w:t>
      </w:r>
      <w:r>
        <w:t xml:space="preserve"> </w:t>
      </w:r>
      <w:r w:rsidRPr="00C81B08">
        <w:rPr>
          <w:i/>
          <w:iCs/>
        </w:rPr>
        <w:t>LS OUT on Location of UEs and associated key issues</w:t>
      </w:r>
      <w:r>
        <w:t xml:space="preserve"> SA WG2 Meeting #136, 18 - 22 </w:t>
      </w:r>
      <w:r w:rsidR="00455737">
        <w:t>November</w:t>
      </w:r>
      <w:r>
        <w:t xml:space="preserve"> 2019, Reno, Nevada, USA</w:t>
      </w:r>
    </w:p>
    <w:p w14:paraId="3011B022" w14:textId="38E8D84F" w:rsidR="00CC08A2" w:rsidRPr="00CC08A2" w:rsidRDefault="00CC08A2" w:rsidP="006E3AAE">
      <w:pPr>
        <w:ind w:left="360"/>
      </w:pPr>
    </w:p>
    <w:sectPr w:rsidR="00CC08A2" w:rsidRPr="00CC08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42083D7" w16cex:dateUtc="2020-08-05T12:19:00Z"/>
  <w16cex:commentExtensible w16cex:durableId="20C630F8" w16cex:dateUtc="2020-07-31T08:21:00Z"/>
  <w16cex:commentExtensible w16cex:durableId="53842E70" w16cex:dateUtc="2020-08-05T1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AAE5F" w14:textId="77777777" w:rsidR="0097313C" w:rsidRDefault="0097313C">
      <w:r>
        <w:separator/>
      </w:r>
    </w:p>
  </w:endnote>
  <w:endnote w:type="continuationSeparator" w:id="0">
    <w:p w14:paraId="2D4DAE4E" w14:textId="77777777" w:rsidR="0097313C" w:rsidRDefault="0097313C">
      <w:r>
        <w:continuationSeparator/>
      </w:r>
    </w:p>
  </w:endnote>
  <w:endnote w:type="continuationNotice" w:id="1">
    <w:p w14:paraId="5313055C" w14:textId="77777777" w:rsidR="0097313C" w:rsidRDefault="00973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7313C" w:rsidRDefault="00973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7313C" w:rsidRDefault="009731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7313C" w:rsidRDefault="00973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1B907" w14:textId="77777777" w:rsidR="0097313C" w:rsidRDefault="0097313C">
      <w:r>
        <w:separator/>
      </w:r>
    </w:p>
  </w:footnote>
  <w:footnote w:type="continuationSeparator" w:id="0">
    <w:p w14:paraId="284D56AC" w14:textId="77777777" w:rsidR="0097313C" w:rsidRDefault="0097313C">
      <w:r>
        <w:continuationSeparator/>
      </w:r>
    </w:p>
  </w:footnote>
  <w:footnote w:type="continuationNotice" w:id="1">
    <w:p w14:paraId="16D678D7" w14:textId="77777777" w:rsidR="0097313C" w:rsidRDefault="00973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7313C" w:rsidRDefault="009731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7313C" w:rsidRDefault="00973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7313C" w:rsidRDefault="00973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6E3E90"/>
    <w:multiLevelType w:val="hybridMultilevel"/>
    <w:tmpl w:val="93BCF8B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463B"/>
    <w:rsid w:val="0007140C"/>
    <w:rsid w:val="00073C9C"/>
    <w:rsid w:val="00080512"/>
    <w:rsid w:val="00090468"/>
    <w:rsid w:val="00094568"/>
    <w:rsid w:val="000948A7"/>
    <w:rsid w:val="000B7BCF"/>
    <w:rsid w:val="000B7DC3"/>
    <w:rsid w:val="000C06D5"/>
    <w:rsid w:val="000C522B"/>
    <w:rsid w:val="000D58AB"/>
    <w:rsid w:val="00103664"/>
    <w:rsid w:val="00112F1A"/>
    <w:rsid w:val="00130205"/>
    <w:rsid w:val="00134144"/>
    <w:rsid w:val="00145075"/>
    <w:rsid w:val="00170849"/>
    <w:rsid w:val="001741A0"/>
    <w:rsid w:val="00175FA0"/>
    <w:rsid w:val="00194CD0"/>
    <w:rsid w:val="001B1B55"/>
    <w:rsid w:val="001B49C9"/>
    <w:rsid w:val="001C23F4"/>
    <w:rsid w:val="001C4F79"/>
    <w:rsid w:val="001D74FA"/>
    <w:rsid w:val="001D79F0"/>
    <w:rsid w:val="001F168B"/>
    <w:rsid w:val="001F23A2"/>
    <w:rsid w:val="001F7831"/>
    <w:rsid w:val="00204045"/>
    <w:rsid w:val="0020712B"/>
    <w:rsid w:val="00225539"/>
    <w:rsid w:val="0022606D"/>
    <w:rsid w:val="00231728"/>
    <w:rsid w:val="00233038"/>
    <w:rsid w:val="00250404"/>
    <w:rsid w:val="002610D8"/>
    <w:rsid w:val="002747EC"/>
    <w:rsid w:val="002855BF"/>
    <w:rsid w:val="002A135C"/>
    <w:rsid w:val="002D604D"/>
    <w:rsid w:val="002F0D22"/>
    <w:rsid w:val="00302301"/>
    <w:rsid w:val="00311B17"/>
    <w:rsid w:val="003172DC"/>
    <w:rsid w:val="003220E6"/>
    <w:rsid w:val="00325AE3"/>
    <w:rsid w:val="00326069"/>
    <w:rsid w:val="0035462D"/>
    <w:rsid w:val="0036459E"/>
    <w:rsid w:val="00364B41"/>
    <w:rsid w:val="00383096"/>
    <w:rsid w:val="0039056D"/>
    <w:rsid w:val="00391C50"/>
    <w:rsid w:val="0039346C"/>
    <w:rsid w:val="0039799E"/>
    <w:rsid w:val="003A41EF"/>
    <w:rsid w:val="003A710F"/>
    <w:rsid w:val="003B40AD"/>
    <w:rsid w:val="003C1494"/>
    <w:rsid w:val="003C4E37"/>
    <w:rsid w:val="003C5BA1"/>
    <w:rsid w:val="003D327E"/>
    <w:rsid w:val="003E16BE"/>
    <w:rsid w:val="003F4319"/>
    <w:rsid w:val="003F4E28"/>
    <w:rsid w:val="004006E8"/>
    <w:rsid w:val="00401855"/>
    <w:rsid w:val="0042377A"/>
    <w:rsid w:val="00424005"/>
    <w:rsid w:val="00437904"/>
    <w:rsid w:val="00452D3F"/>
    <w:rsid w:val="00454A40"/>
    <w:rsid w:val="00454FB1"/>
    <w:rsid w:val="00455737"/>
    <w:rsid w:val="004626B2"/>
    <w:rsid w:val="00465587"/>
    <w:rsid w:val="00472EEA"/>
    <w:rsid w:val="00477455"/>
    <w:rsid w:val="00481B94"/>
    <w:rsid w:val="004922F7"/>
    <w:rsid w:val="004A1F7B"/>
    <w:rsid w:val="004B53DD"/>
    <w:rsid w:val="004C0FE7"/>
    <w:rsid w:val="004C1A03"/>
    <w:rsid w:val="004C44D2"/>
    <w:rsid w:val="004C5B6E"/>
    <w:rsid w:val="004D2B15"/>
    <w:rsid w:val="004D3578"/>
    <w:rsid w:val="004D380D"/>
    <w:rsid w:val="004D6AEE"/>
    <w:rsid w:val="004D6E6B"/>
    <w:rsid w:val="004E213A"/>
    <w:rsid w:val="004E71AF"/>
    <w:rsid w:val="004F368B"/>
    <w:rsid w:val="00503171"/>
    <w:rsid w:val="00506C28"/>
    <w:rsid w:val="00516536"/>
    <w:rsid w:val="00534DA0"/>
    <w:rsid w:val="00542956"/>
    <w:rsid w:val="00543B3B"/>
    <w:rsid w:val="00543E6C"/>
    <w:rsid w:val="00565087"/>
    <w:rsid w:val="0056573F"/>
    <w:rsid w:val="005A1304"/>
    <w:rsid w:val="005A49C6"/>
    <w:rsid w:val="005C21EE"/>
    <w:rsid w:val="005C3D50"/>
    <w:rsid w:val="005F135C"/>
    <w:rsid w:val="00611566"/>
    <w:rsid w:val="006432EB"/>
    <w:rsid w:val="00646D99"/>
    <w:rsid w:val="006502E9"/>
    <w:rsid w:val="00656910"/>
    <w:rsid w:val="006574C0"/>
    <w:rsid w:val="00657BF7"/>
    <w:rsid w:val="0066343D"/>
    <w:rsid w:val="00677FC8"/>
    <w:rsid w:val="00691DD6"/>
    <w:rsid w:val="00693D31"/>
    <w:rsid w:val="00695864"/>
    <w:rsid w:val="006A1237"/>
    <w:rsid w:val="006A77C4"/>
    <w:rsid w:val="006B665D"/>
    <w:rsid w:val="006C2409"/>
    <w:rsid w:val="006C5C68"/>
    <w:rsid w:val="006C66D8"/>
    <w:rsid w:val="006D1E24"/>
    <w:rsid w:val="006D2039"/>
    <w:rsid w:val="006E1417"/>
    <w:rsid w:val="006E3AAE"/>
    <w:rsid w:val="006E6EAC"/>
    <w:rsid w:val="006F1D60"/>
    <w:rsid w:val="006F6A2C"/>
    <w:rsid w:val="007069DC"/>
    <w:rsid w:val="00710201"/>
    <w:rsid w:val="0071731C"/>
    <w:rsid w:val="0072073A"/>
    <w:rsid w:val="007342B5"/>
    <w:rsid w:val="00734A5B"/>
    <w:rsid w:val="00736D33"/>
    <w:rsid w:val="00744E76"/>
    <w:rsid w:val="00757D40"/>
    <w:rsid w:val="00764489"/>
    <w:rsid w:val="007662B5"/>
    <w:rsid w:val="00780ECB"/>
    <w:rsid w:val="00781F0F"/>
    <w:rsid w:val="0078727C"/>
    <w:rsid w:val="0079049D"/>
    <w:rsid w:val="00793DC5"/>
    <w:rsid w:val="007A0228"/>
    <w:rsid w:val="007B18D8"/>
    <w:rsid w:val="007C095F"/>
    <w:rsid w:val="007C2DD0"/>
    <w:rsid w:val="007C638A"/>
    <w:rsid w:val="007D45CF"/>
    <w:rsid w:val="007E0CF7"/>
    <w:rsid w:val="007F2E08"/>
    <w:rsid w:val="008028A4"/>
    <w:rsid w:val="008054E1"/>
    <w:rsid w:val="008055A1"/>
    <w:rsid w:val="00813245"/>
    <w:rsid w:val="00813D98"/>
    <w:rsid w:val="00823178"/>
    <w:rsid w:val="00840DE0"/>
    <w:rsid w:val="00847201"/>
    <w:rsid w:val="008507A8"/>
    <w:rsid w:val="00851585"/>
    <w:rsid w:val="0086354A"/>
    <w:rsid w:val="008768CA"/>
    <w:rsid w:val="00877EF9"/>
    <w:rsid w:val="00880559"/>
    <w:rsid w:val="008905C7"/>
    <w:rsid w:val="008968DF"/>
    <w:rsid w:val="008A6CB0"/>
    <w:rsid w:val="008B5306"/>
    <w:rsid w:val="008B62C7"/>
    <w:rsid w:val="008C0951"/>
    <w:rsid w:val="008C2E2A"/>
    <w:rsid w:val="008C3057"/>
    <w:rsid w:val="008C34C1"/>
    <w:rsid w:val="008C3A67"/>
    <w:rsid w:val="008C6E57"/>
    <w:rsid w:val="008D2E4D"/>
    <w:rsid w:val="008E6BC6"/>
    <w:rsid w:val="008F396F"/>
    <w:rsid w:val="008F3DCD"/>
    <w:rsid w:val="008F5576"/>
    <w:rsid w:val="00900399"/>
    <w:rsid w:val="0090271F"/>
    <w:rsid w:val="00902DB9"/>
    <w:rsid w:val="0090466A"/>
    <w:rsid w:val="00913E5A"/>
    <w:rsid w:val="00923655"/>
    <w:rsid w:val="00926C66"/>
    <w:rsid w:val="00932791"/>
    <w:rsid w:val="00933688"/>
    <w:rsid w:val="00936071"/>
    <w:rsid w:val="009376CD"/>
    <w:rsid w:val="00940212"/>
    <w:rsid w:val="00942EC2"/>
    <w:rsid w:val="00960AFC"/>
    <w:rsid w:val="00961B32"/>
    <w:rsid w:val="00962509"/>
    <w:rsid w:val="00964769"/>
    <w:rsid w:val="00970DB3"/>
    <w:rsid w:val="0097313C"/>
    <w:rsid w:val="00974BB0"/>
    <w:rsid w:val="00975BCD"/>
    <w:rsid w:val="009928A9"/>
    <w:rsid w:val="009A0AF3"/>
    <w:rsid w:val="009B07CD"/>
    <w:rsid w:val="009C19E9"/>
    <w:rsid w:val="009C3C0E"/>
    <w:rsid w:val="009D74A6"/>
    <w:rsid w:val="009E0E87"/>
    <w:rsid w:val="009E11DF"/>
    <w:rsid w:val="009E72D7"/>
    <w:rsid w:val="00A04A04"/>
    <w:rsid w:val="00A06BA8"/>
    <w:rsid w:val="00A10F02"/>
    <w:rsid w:val="00A12939"/>
    <w:rsid w:val="00A204CA"/>
    <w:rsid w:val="00A209D6"/>
    <w:rsid w:val="00A22E30"/>
    <w:rsid w:val="00A41F15"/>
    <w:rsid w:val="00A4483B"/>
    <w:rsid w:val="00A53724"/>
    <w:rsid w:val="00A54B2B"/>
    <w:rsid w:val="00A57EE2"/>
    <w:rsid w:val="00A737D6"/>
    <w:rsid w:val="00A7427F"/>
    <w:rsid w:val="00A80874"/>
    <w:rsid w:val="00A82346"/>
    <w:rsid w:val="00A9671C"/>
    <w:rsid w:val="00AA1553"/>
    <w:rsid w:val="00AD50F5"/>
    <w:rsid w:val="00AE7EB2"/>
    <w:rsid w:val="00AF7BD3"/>
    <w:rsid w:val="00B02DE8"/>
    <w:rsid w:val="00B04CB0"/>
    <w:rsid w:val="00B05380"/>
    <w:rsid w:val="00B05962"/>
    <w:rsid w:val="00B15449"/>
    <w:rsid w:val="00B16C2F"/>
    <w:rsid w:val="00B27303"/>
    <w:rsid w:val="00B3459E"/>
    <w:rsid w:val="00B47FD1"/>
    <w:rsid w:val="00B516BB"/>
    <w:rsid w:val="00B84DB2"/>
    <w:rsid w:val="00BA34F3"/>
    <w:rsid w:val="00BA412B"/>
    <w:rsid w:val="00BA50AB"/>
    <w:rsid w:val="00BB0985"/>
    <w:rsid w:val="00BC3555"/>
    <w:rsid w:val="00BC67CF"/>
    <w:rsid w:val="00BF66BB"/>
    <w:rsid w:val="00C12B51"/>
    <w:rsid w:val="00C22DD9"/>
    <w:rsid w:val="00C24650"/>
    <w:rsid w:val="00C25465"/>
    <w:rsid w:val="00C33079"/>
    <w:rsid w:val="00C407A3"/>
    <w:rsid w:val="00C46E4C"/>
    <w:rsid w:val="00C81B08"/>
    <w:rsid w:val="00C81D74"/>
    <w:rsid w:val="00C83A13"/>
    <w:rsid w:val="00C9068C"/>
    <w:rsid w:val="00C92967"/>
    <w:rsid w:val="00CA3D0C"/>
    <w:rsid w:val="00CA654B"/>
    <w:rsid w:val="00CB72B8"/>
    <w:rsid w:val="00CC08A2"/>
    <w:rsid w:val="00CD0490"/>
    <w:rsid w:val="00CD4C7B"/>
    <w:rsid w:val="00CD58FE"/>
    <w:rsid w:val="00CF26FA"/>
    <w:rsid w:val="00D33BE3"/>
    <w:rsid w:val="00D3792D"/>
    <w:rsid w:val="00D42FEA"/>
    <w:rsid w:val="00D55E47"/>
    <w:rsid w:val="00D62E19"/>
    <w:rsid w:val="00D67CD1"/>
    <w:rsid w:val="00D738D6"/>
    <w:rsid w:val="00D80795"/>
    <w:rsid w:val="00D854BE"/>
    <w:rsid w:val="00D87E00"/>
    <w:rsid w:val="00D9134D"/>
    <w:rsid w:val="00D94BB8"/>
    <w:rsid w:val="00D96D11"/>
    <w:rsid w:val="00DA7A03"/>
    <w:rsid w:val="00DB0DB8"/>
    <w:rsid w:val="00DB1818"/>
    <w:rsid w:val="00DB4491"/>
    <w:rsid w:val="00DC309B"/>
    <w:rsid w:val="00DC4DA2"/>
    <w:rsid w:val="00DC5261"/>
    <w:rsid w:val="00DC5D61"/>
    <w:rsid w:val="00DE25D2"/>
    <w:rsid w:val="00DF1B41"/>
    <w:rsid w:val="00E001E3"/>
    <w:rsid w:val="00E027DA"/>
    <w:rsid w:val="00E46C08"/>
    <w:rsid w:val="00E471CF"/>
    <w:rsid w:val="00E61263"/>
    <w:rsid w:val="00E62835"/>
    <w:rsid w:val="00E77645"/>
    <w:rsid w:val="00E83697"/>
    <w:rsid w:val="00E84CF0"/>
    <w:rsid w:val="00EA66C9"/>
    <w:rsid w:val="00EB77AE"/>
    <w:rsid w:val="00EC4A25"/>
    <w:rsid w:val="00EE256D"/>
    <w:rsid w:val="00F025A2"/>
    <w:rsid w:val="00F036E9"/>
    <w:rsid w:val="00F07388"/>
    <w:rsid w:val="00F1066E"/>
    <w:rsid w:val="00F12C25"/>
    <w:rsid w:val="00F2026E"/>
    <w:rsid w:val="00F2210A"/>
    <w:rsid w:val="00F25C5E"/>
    <w:rsid w:val="00F3709C"/>
    <w:rsid w:val="00F37743"/>
    <w:rsid w:val="00F52F8E"/>
    <w:rsid w:val="00F54A3D"/>
    <w:rsid w:val="00F54CB0"/>
    <w:rsid w:val="00F579CD"/>
    <w:rsid w:val="00F63C4C"/>
    <w:rsid w:val="00F653B8"/>
    <w:rsid w:val="00F71B89"/>
    <w:rsid w:val="00F7353C"/>
    <w:rsid w:val="00F76823"/>
    <w:rsid w:val="00F76F8F"/>
    <w:rsid w:val="00F941DF"/>
    <w:rsid w:val="00FA1266"/>
    <w:rsid w:val="00FB36FA"/>
    <w:rsid w:val="00FC1192"/>
    <w:rsid w:val="00FC11B2"/>
    <w:rsid w:val="00FD5167"/>
    <w:rsid w:val="00FD59CF"/>
    <w:rsid w:val="00FE2324"/>
    <w:rsid w:val="00FE251B"/>
    <w:rsid w:val="00FF505C"/>
    <w:rsid w:val="02039C83"/>
    <w:rsid w:val="06BAADC2"/>
    <w:rsid w:val="0B53CFF4"/>
    <w:rsid w:val="1A31AC74"/>
    <w:rsid w:val="252A8F5E"/>
    <w:rsid w:val="25F357A5"/>
    <w:rsid w:val="266D38A1"/>
    <w:rsid w:val="2A098AEF"/>
    <w:rsid w:val="2B774843"/>
    <w:rsid w:val="2CC5B543"/>
    <w:rsid w:val="2D24B7AD"/>
    <w:rsid w:val="2D4E8D9A"/>
    <w:rsid w:val="2DC140C1"/>
    <w:rsid w:val="2FC0181D"/>
    <w:rsid w:val="36BABCE1"/>
    <w:rsid w:val="382E088A"/>
    <w:rsid w:val="386CFDB0"/>
    <w:rsid w:val="39A64BAA"/>
    <w:rsid w:val="46409CCD"/>
    <w:rsid w:val="4C214D02"/>
    <w:rsid w:val="5D69BA3D"/>
    <w:rsid w:val="5EC4628B"/>
    <w:rsid w:val="627AC976"/>
    <w:rsid w:val="65F696DE"/>
    <w:rsid w:val="6AC72DEC"/>
    <w:rsid w:val="6B4896CC"/>
    <w:rsid w:val="706A6A22"/>
    <w:rsid w:val="797998F3"/>
    <w:rsid w:val="7ABC5D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7102D71C-EC0A-4867-9B3E-7F0B5A06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52D3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08A2"/>
    <w:rPr>
      <w:sz w:val="16"/>
      <w:szCs w:val="16"/>
    </w:rPr>
  </w:style>
  <w:style w:type="paragraph" w:styleId="CommentText">
    <w:name w:val="annotation text"/>
    <w:basedOn w:val="Normal"/>
    <w:link w:val="CommentTextChar"/>
    <w:rsid w:val="00CC08A2"/>
  </w:style>
  <w:style w:type="character" w:customStyle="1" w:styleId="CommentTextChar">
    <w:name w:val="Comment Text Char"/>
    <w:basedOn w:val="DefaultParagraphFont"/>
    <w:link w:val="CommentText"/>
    <w:rsid w:val="00CC08A2"/>
    <w:rPr>
      <w:lang w:eastAsia="en-US"/>
    </w:rPr>
  </w:style>
  <w:style w:type="paragraph" w:styleId="CommentSubject">
    <w:name w:val="annotation subject"/>
    <w:basedOn w:val="CommentText"/>
    <w:next w:val="CommentText"/>
    <w:link w:val="CommentSubjectChar"/>
    <w:rsid w:val="00CC08A2"/>
    <w:rPr>
      <w:b/>
      <w:bCs/>
    </w:rPr>
  </w:style>
  <w:style w:type="character" w:customStyle="1" w:styleId="CommentSubjectChar">
    <w:name w:val="Comment Subject Char"/>
    <w:basedOn w:val="CommentTextChar"/>
    <w:link w:val="CommentSubject"/>
    <w:rsid w:val="00CC08A2"/>
    <w:rPr>
      <w:b/>
      <w:bCs/>
      <w:lang w:eastAsia="en-US"/>
    </w:rPr>
  </w:style>
  <w:style w:type="paragraph" w:styleId="ListParagraph">
    <w:name w:val="List Paragraph"/>
    <w:basedOn w:val="Normal"/>
    <w:uiPriority w:val="34"/>
    <w:qFormat/>
    <w:rsid w:val="00CC08A2"/>
    <w:pPr>
      <w:ind w:left="720"/>
      <w:contextualSpacing/>
    </w:pPr>
  </w:style>
  <w:style w:type="paragraph" w:styleId="Revision">
    <w:name w:val="Revision"/>
    <w:hidden/>
    <w:uiPriority w:val="99"/>
    <w:semiHidden/>
    <w:rsid w:val="002D60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5192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46992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5AIRPNAIUNRU-859666464-7085</_dlc_DocId>
    <_dlc_DocIdUrl xmlns="71c5aaf6-e6ce-465b-b873-5148d2a4c105">
      <Url>https://nokia.sharepoint.com/sites/c5g/e2earch/_layouts/15/DocIdRedir.aspx?ID=5AIRPNAIUNRU-859666464-7085</Url>
      <Description>5AIRPNAIUNRU-859666464-7085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7D614D1-F767-4656-B024-7CC1952C2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83f22d2f-d16e-4be6-ad4f-29fa0b067c3c"/>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6029</TotalTime>
  <Pages>3</Pages>
  <Words>1370</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109</cp:revision>
  <dcterms:created xsi:type="dcterms:W3CDTF">2020-07-07T05:19:00Z</dcterms:created>
  <dcterms:modified xsi:type="dcterms:W3CDTF">2020-08-06T15:30:00Z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6db7df42-60e7-460f-9672-3ad38fba88e9</vt:lpwstr>
  </property>
</Properties>
</file>